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3BB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2"/>
      <w:bookmarkStart w:id="2" w:name="OLE_LINK1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64E95D26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67A770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D8BBFE5">
      <w:pPr>
        <w:jc w:val="both"/>
        <w:rPr>
          <w:rFonts w:ascii="Times New Roman" w:hAnsi="Times New Roman"/>
          <w:sz w:val="24"/>
          <w:szCs w:val="24"/>
        </w:rPr>
      </w:pPr>
    </w:p>
    <w:p w14:paraId="154D7515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drawing>
          <wp:inline distT="0" distB="0" distL="0" distR="0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Логатип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48" cy="1590673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579165A4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FF53B90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DFAEE3B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1E92556E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6EE42A82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23FBD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225016E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ОП.1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СТАНДАРТИЗАЦИЯ, СЕРТИФИКАЦИЯ И ТЕХНИЧЕСКОЕ ДОКУМЕНТОВЕДЕНИЕ</w:t>
      </w:r>
    </w:p>
    <w:p w14:paraId="758BD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10546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25DFC7CC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</w:t>
      </w:r>
    </w:p>
    <w:p w14:paraId="751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041A178A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7805CD17">
      <w:pPr>
        <w:jc w:val="center"/>
        <w:rPr>
          <w:rFonts w:ascii="Times New Roman" w:hAnsi="Times New Roman"/>
          <w:sz w:val="24"/>
          <w:szCs w:val="24"/>
        </w:rPr>
      </w:pPr>
    </w:p>
    <w:p w14:paraId="1199E1E5">
      <w:pPr>
        <w:jc w:val="center"/>
        <w:rPr>
          <w:rFonts w:ascii="Times New Roman" w:hAnsi="Times New Roman"/>
          <w:sz w:val="24"/>
          <w:szCs w:val="24"/>
        </w:rPr>
      </w:pPr>
    </w:p>
    <w:p w14:paraId="577BCF74">
      <w:pPr>
        <w:jc w:val="center"/>
        <w:rPr>
          <w:rFonts w:ascii="Times New Roman" w:hAnsi="Times New Roman"/>
          <w:sz w:val="24"/>
          <w:szCs w:val="24"/>
        </w:rPr>
      </w:pPr>
    </w:p>
    <w:p w14:paraId="43D276FF">
      <w:pPr>
        <w:jc w:val="center"/>
        <w:rPr>
          <w:rFonts w:ascii="Times New Roman" w:hAnsi="Times New Roman"/>
          <w:sz w:val="24"/>
          <w:szCs w:val="24"/>
        </w:rPr>
      </w:pPr>
    </w:p>
    <w:p w14:paraId="7C2BF704">
      <w:pPr>
        <w:jc w:val="center"/>
        <w:rPr>
          <w:rFonts w:ascii="Times New Roman" w:hAnsi="Times New Roman"/>
          <w:sz w:val="24"/>
          <w:szCs w:val="24"/>
        </w:rPr>
      </w:pPr>
    </w:p>
    <w:p w14:paraId="3DB04140">
      <w:pPr>
        <w:jc w:val="center"/>
        <w:rPr>
          <w:rFonts w:ascii="Times New Roman" w:hAnsi="Times New Roman"/>
          <w:sz w:val="24"/>
          <w:szCs w:val="24"/>
        </w:rPr>
      </w:pPr>
    </w:p>
    <w:p w14:paraId="2DC40433">
      <w:pPr>
        <w:jc w:val="center"/>
        <w:rPr>
          <w:rFonts w:ascii="Times New Roman" w:hAnsi="Times New Roman"/>
          <w:sz w:val="24"/>
          <w:szCs w:val="24"/>
        </w:rPr>
      </w:pPr>
    </w:p>
    <w:p w14:paraId="53E1EB19">
      <w:pPr>
        <w:jc w:val="center"/>
        <w:rPr>
          <w:rFonts w:ascii="Times New Roman" w:hAnsi="Times New Roman"/>
          <w:sz w:val="24"/>
          <w:szCs w:val="24"/>
        </w:rPr>
      </w:pPr>
    </w:p>
    <w:p w14:paraId="1D04FE5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br w:type="page" w:clear="all"/>
      </w:r>
    </w:p>
    <w:p w14:paraId="3EE74741">
      <w:pPr>
        <w:keepNext/>
        <w:outlineLvl w:val="0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</w:t>
      </w:r>
    </w:p>
    <w:p w14:paraId="49A5617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996F7E">
      <w:pPr>
        <w:pStyle w:val="184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71D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58B6EED">
        <w:tc>
          <w:tcPr>
            <w:tcW w:w="4785" w:type="dxa"/>
          </w:tcPr>
          <w:p w14:paraId="660EB53A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5D4B6B9A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316BE49D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132E239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C1744EB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53BBE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6A26E5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13703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667DDCC5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12B29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FD699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D37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9327BA8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0BEC5A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31B28266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284142E6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6AB0273D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DE41C4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38DBB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0F6E02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0A6E75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4AA52359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3C49DB5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7870291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E52FB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0639F7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EAB1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7E9C7E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4AA8BA3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DBBD20B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975C411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5EF925F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2CF2A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0973D2B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05126900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2E52D854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3B41D240">
      <w:pPr>
        <w:pStyle w:val="18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2263DBF0"/>
    <w:p w14:paraId="6BF93D7B">
      <w:pPr>
        <w:pStyle w:val="184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53B899D5">
      <w:pPr>
        <w:pStyle w:val="184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6BF26DD9">
      <w:pPr>
        <w:pStyle w:val="184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4E6D0622">
      <w:pPr>
        <w:pStyle w:val="184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47911A32">
      <w:pPr>
        <w:pStyle w:val="184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 w:orient="landscape"/>
          <w:pgMar w:top="851" w:right="807" w:bottom="1393" w:left="1013" w:header="709" w:footer="709" w:gutter="0"/>
          <w:cols w:space="720" w:num="1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4A6D3D2">
      <w:pPr>
        <w:pStyle w:val="184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 ОП.1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ru-RU" w:bidi="ru-RU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СТАНДАРТИЗАЦИЯ, СЕРТИФИКАЦИЯ И ТЕХНИЧЕСКОЕ ДОКУМЕНТОВЕДЕНИЕ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18E918">
      <w:pPr>
        <w:pStyle w:val="186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69B31455">
      <w:pPr>
        <w:pStyle w:val="184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Дисциплина относится к вариативной части общепрофессионального цикла программы подготовки специалистов среднего звена, является общепрофессиональной.</w:t>
      </w:r>
    </w:p>
    <w:p w14:paraId="1620002F">
      <w:pPr>
        <w:pStyle w:val="184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64B3D5DA">
      <w:pPr>
        <w:pStyle w:val="186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tbl>
      <w:tblPr>
        <w:tblStyle w:val="12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1280B16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4B297A4">
            <w:pPr>
              <w:spacing w:after="0" w:line="240" w:lineRule="auto"/>
              <w:rPr>
                <w:rStyle w:val="14"/>
                <w:b/>
                <w:i w:val="0"/>
                <w:iCs/>
                <w:sz w:val="24"/>
                <w:szCs w:val="24"/>
              </w:rPr>
            </w:pPr>
            <w:r>
              <w:rPr>
                <w:rStyle w:val="14"/>
                <w:b/>
                <w:sz w:val="24"/>
                <w:szCs w:val="24"/>
              </w:rPr>
              <w:t xml:space="preserve">Код </w:t>
            </w:r>
            <w:r>
              <w:rPr>
                <w:rStyle w:val="14"/>
                <w:b/>
                <w:iCs/>
                <w:sz w:val="24"/>
                <w:szCs w:val="24"/>
              </w:rPr>
              <w:t xml:space="preserve">ОК, </w:t>
            </w:r>
          </w:p>
          <w:p w14:paraId="22702654">
            <w:pPr>
              <w:spacing w:after="0" w:line="240" w:lineRule="auto"/>
              <w:rPr>
                <w:rStyle w:val="14"/>
                <w:b/>
                <w:i w:val="0"/>
                <w:sz w:val="24"/>
                <w:szCs w:val="24"/>
              </w:rPr>
            </w:pPr>
            <w:r>
              <w:rPr>
                <w:rStyle w:val="14"/>
                <w:b/>
                <w:iCs/>
                <w:sz w:val="24"/>
                <w:szCs w:val="24"/>
              </w:rPr>
              <w:t>ПК</w:t>
            </w:r>
            <w:r>
              <w:rPr>
                <w:rStyle w:val="14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37B1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2333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14:paraId="4325AB0B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E23B2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A76A9A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56847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018D875E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93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E1CD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54354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391628A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8EE4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DCFF52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FCDF7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6D83AE8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22381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2B6FE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71B6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4DEB357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FCAC0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04A409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9C801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652B22F5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36F16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7B0F28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54757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4C3A91E5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2E8EA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86322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3E687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4227D05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FBD0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08A68D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E5C79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20D8755A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163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2508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0729BA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7AE99C3A">
      <w:pPr>
        <w:pStyle w:val="186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sz w:val="24"/>
          <w:szCs w:val="24"/>
        </w:rPr>
      </w:pPr>
    </w:p>
    <w:p w14:paraId="330FF480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14:paraId="1E92D181">
      <w:pPr>
        <w:pStyle w:val="186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sz w:val="24"/>
          <w:szCs w:val="24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4"/>
        <w:gridCol w:w="5103"/>
      </w:tblGrid>
      <w:tr w14:paraId="5BF00DF1">
        <w:trPr>
          <w:trHeight w:val="662" w:hRule="exact"/>
          <w:jc w:val="center"/>
        </w:trPr>
        <w:tc>
          <w:tcPr>
            <w:tcW w:w="3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</w:tcPr>
          <w:p w14:paraId="06433EA6">
            <w:pPr>
              <w:pStyle w:val="18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Умения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</w:tcPr>
          <w:p w14:paraId="5CC71150">
            <w:pPr>
              <w:pStyle w:val="18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14:paraId="6FD4A655">
        <w:trPr>
          <w:trHeight w:val="3976" w:hRule="atLeast"/>
          <w:jc w:val="center"/>
        </w:trPr>
        <w:tc>
          <w:tcPr>
            <w:tcW w:w="3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</w:tcPr>
          <w:p w14:paraId="05A0F8B3">
            <w:pPr>
              <w:spacing w:line="283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Применять требования нормативных актов к основным видам продукции (услуг) и процессов. </w:t>
            </w:r>
          </w:p>
          <w:p w14:paraId="18712BA8">
            <w:pPr>
              <w:spacing w:line="283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Применять документацию систем качества. </w:t>
            </w:r>
          </w:p>
          <w:p w14:paraId="601E109B">
            <w:pPr>
              <w:spacing w:line="283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Применять основные правила и документы системы сертификации Российской Федерации.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</w:tcPr>
          <w:p w14:paraId="05EB7EAC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-Правовые основы метрологии, стандартизации и сертификации. </w:t>
            </w:r>
          </w:p>
          <w:p w14:paraId="3186781E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Основные понятия и определения метрологии, стандартизации и сертификации. </w:t>
            </w:r>
          </w:p>
          <w:p w14:paraId="34E8F1E0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Основные положения систем (комплексов) общетехнических и организационно-методических стандартов. </w:t>
            </w:r>
          </w:p>
          <w:p w14:paraId="46449733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Показатели качества и методы их оценки. </w:t>
            </w:r>
          </w:p>
          <w:p w14:paraId="32588B25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Системы качества. </w:t>
            </w:r>
          </w:p>
          <w:p w14:paraId="753A1572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Основные термины и определения в области сертификации. </w:t>
            </w:r>
          </w:p>
          <w:p w14:paraId="02854626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Организационную структуру сертификации. </w:t>
            </w:r>
          </w:p>
          <w:p w14:paraId="7C70009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- Системы и схемы сертификации.</w:t>
            </w:r>
          </w:p>
        </w:tc>
      </w:tr>
    </w:tbl>
    <w:p w14:paraId="4BFDEB50">
      <w:pPr>
        <w:pStyle w:val="188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67392D35">
      <w:pPr>
        <w:pStyle w:val="188"/>
        <w:shd w:val="clear" w:color="auto" w:fill="auto"/>
        <w:ind w:left="643"/>
        <w:rPr>
          <w:sz w:val="24"/>
          <w:szCs w:val="24"/>
        </w:rPr>
      </w:pPr>
    </w:p>
    <w:p w14:paraId="17883F98">
      <w:r>
        <w:rPr/>
        <w:br w:type="page" w:clear="all"/>
      </w:r>
    </w:p>
    <w:p w14:paraId="60FC6EED">
      <w:pPr>
        <w:pStyle w:val="18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СТРУКТУРА И СОДЕРЖАНИЕ УЧЕБНОЙ ДИСЦИПЛИНЫ </w:t>
      </w:r>
    </w:p>
    <w:p w14:paraId="4F386997">
      <w:pPr>
        <w:pStyle w:val="18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5" w:name="bookmark129"/>
      <w:bookmarkStart w:id="6" w:name="bookmark128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5"/>
      <w:bookmarkEnd w:id="6"/>
    </w:p>
    <w:p w14:paraId="4237AA7C">
      <w:pPr>
        <w:pStyle w:val="186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12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68A98759">
        <w:trPr>
          <w:trHeight w:val="51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6C942EB6">
            <w:pPr>
              <w:pStyle w:val="18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0E9E4">
            <w:pPr>
              <w:pStyle w:val="187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6374A712">
        <w:trPr>
          <w:trHeight w:val="50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4ABA5206">
            <w:pPr>
              <w:pStyle w:val="18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E99136">
            <w:pPr>
              <w:pStyle w:val="187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58</w:t>
            </w:r>
          </w:p>
        </w:tc>
      </w:tr>
      <w:tr w14:paraId="114DE92B">
        <w:trPr>
          <w:trHeight w:val="509" w:hRule="exact"/>
          <w:jc w:val="center"/>
        </w:trPr>
        <w:tc>
          <w:tcPr>
            <w:tcW w:w="101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3A514F">
            <w:pPr>
              <w:pStyle w:val="18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0326A1B7">
        <w:trPr>
          <w:trHeight w:val="50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74F6C333">
            <w:pPr>
              <w:pStyle w:val="18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AB7EA7">
            <w:pPr>
              <w:pStyle w:val="187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30</w:t>
            </w:r>
          </w:p>
        </w:tc>
      </w:tr>
      <w:tr w14:paraId="1A16162B">
        <w:trPr>
          <w:trHeight w:val="50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7C16A32C">
            <w:pPr>
              <w:pStyle w:val="18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7EC9F3">
            <w:pPr>
              <w:pStyle w:val="187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</w:tr>
      <w:tr w14:paraId="2AC10F4E">
        <w:trPr>
          <w:trHeight w:val="50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5C5D2D83">
            <w:pPr>
              <w:pStyle w:val="18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A7D5C6">
            <w:pPr>
              <w:pStyle w:val="187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</w:tr>
      <w:tr w14:paraId="48E02325">
        <w:trPr>
          <w:trHeight w:val="50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vAlign w:val="center"/>
          </w:tcPr>
          <w:p w14:paraId="4B74FF46">
            <w:pPr>
              <w:pStyle w:val="18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1F566">
            <w:pPr>
              <w:pStyle w:val="187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14:paraId="0F5CB50C">
        <w:trPr>
          <w:trHeight w:val="514" w:hRule="exact"/>
          <w:jc w:val="center"/>
        </w:trPr>
        <w:tc>
          <w:tcPr>
            <w:tcW w:w="8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  <w:vAlign w:val="center"/>
          </w:tcPr>
          <w:p w14:paraId="59B11B28">
            <w:pPr>
              <w:pStyle w:val="187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6BA9C4">
            <w:pPr>
              <w:pStyle w:val="187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29A561D">
      <w:r>
        <w:rPr/>
        <w:br w:type="page" w:clear="all"/>
      </w:r>
    </w:p>
    <w:p w14:paraId="25E67EB0">
      <w:pPr>
        <w:spacing w:after="0"/>
        <w:rPr>
          <w:rFonts w:ascii="Times New Roman" w:hAnsi="Times New Roman"/>
          <w:b/>
          <w:sz w:val="24"/>
          <w:szCs w:val="24"/>
        </w:rPr>
        <w:sectPr>
          <w:pgSz w:w="11906" w:h="16838" w:orient="landscape"/>
          <w:pgMar w:top="851" w:right="850" w:bottom="1134" w:left="1701" w:header="709" w:footer="709" w:gutter="0"/>
          <w:cols w:space="708" w:num="1"/>
        </w:sectPr>
      </w:pPr>
    </w:p>
    <w:p w14:paraId="1696EC00">
      <w:pPr>
        <w:pStyle w:val="18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Тематический план и содержание учебной дисциплины</w:t>
      </w:r>
    </w:p>
    <w:p w14:paraId="36E8691C">
      <w:pPr>
        <w:spacing w:after="0" w:line="240" w:lineRule="auto"/>
        <w:rPr>
          <w:sz w:val="2"/>
          <w:szCs w:val="2"/>
        </w:rPr>
      </w:pPr>
    </w:p>
    <w:p w14:paraId="0D1517FD">
      <w:pPr>
        <w:spacing w:after="0" w:line="240" w:lineRule="auto"/>
        <w:rPr>
          <w:sz w:val="2"/>
          <w:szCs w:val="2"/>
        </w:rPr>
      </w:pPr>
    </w:p>
    <w:p w14:paraId="7D45FCF4">
      <w:pPr>
        <w:spacing w:after="0" w:line="240" w:lineRule="auto"/>
        <w:rPr>
          <w:sz w:val="2"/>
          <w:szCs w:val="2"/>
        </w:rPr>
      </w:pPr>
    </w:p>
    <w:tbl>
      <w:tblPr>
        <w:tblStyle w:val="12"/>
        <w:tblW w:w="510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8956"/>
        <w:gridCol w:w="1727"/>
        <w:gridCol w:w="2842"/>
        <w:gridCol w:w="36"/>
      </w:tblGrid>
      <w:tr w14:paraId="01D4A780">
        <w:trPr>
          <w:gridAfter w:val="1"/>
          <w:wAfter w:w="35" w:type="dxa"/>
          <w:trHeight w:val="20" w:hRule="atLeast"/>
          <w:jc w:val="center"/>
        </w:trPr>
        <w:tc>
          <w:tcPr>
            <w:tcW w:w="1806" w:type="dxa"/>
          </w:tcPr>
          <w:p w14:paraId="01061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1C9E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Наименование разделов и тем</w:t>
            </w:r>
          </w:p>
        </w:tc>
        <w:tc>
          <w:tcPr>
            <w:tcW w:w="8821" w:type="dxa"/>
          </w:tcPr>
          <w:p w14:paraId="196369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DDB3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37A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01" w:type="dxa"/>
          </w:tcPr>
          <w:p w14:paraId="738FA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8928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Объем часов</w:t>
            </w:r>
          </w:p>
        </w:tc>
        <w:tc>
          <w:tcPr>
            <w:tcW w:w="2800" w:type="dxa"/>
          </w:tcPr>
          <w:p w14:paraId="5762B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Коды компетенций, формированию которых способствует элемент программы</w:t>
            </w:r>
          </w:p>
        </w:tc>
      </w:tr>
      <w:tr w14:paraId="4B360CEE">
        <w:trPr>
          <w:gridAfter w:val="1"/>
          <w:wAfter w:w="35" w:type="dxa"/>
          <w:trHeight w:val="20" w:hRule="atLeast"/>
          <w:jc w:val="center"/>
        </w:trPr>
        <w:tc>
          <w:tcPr>
            <w:tcW w:w="1806" w:type="dxa"/>
          </w:tcPr>
          <w:p w14:paraId="562A81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821" w:type="dxa"/>
          </w:tcPr>
          <w:p w14:paraId="37A8F8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</w:tcPr>
          <w:p w14:paraId="68628B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00" w:type="dxa"/>
          </w:tcPr>
          <w:p w14:paraId="278C44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5F3CB8C1">
        <w:trPr>
          <w:gridAfter w:val="1"/>
          <w:wAfter w:w="35" w:type="dxa"/>
          <w:trHeight w:val="307" w:hRule="atLeast"/>
          <w:jc w:val="center"/>
        </w:trPr>
        <w:tc>
          <w:tcPr>
            <w:tcW w:w="10627" w:type="dxa"/>
            <w:gridSpan w:val="2"/>
          </w:tcPr>
          <w:p w14:paraId="739AF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Раздел 1 Стандартизация</w:t>
            </w:r>
          </w:p>
        </w:tc>
        <w:tc>
          <w:tcPr>
            <w:tcW w:w="1701" w:type="dxa"/>
          </w:tcPr>
          <w:p w14:paraId="1A7B9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800" w:type="dxa"/>
          </w:tcPr>
          <w:p w14:paraId="12E466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871967">
        <w:trPr>
          <w:gridAfter w:val="1"/>
          <w:wAfter w:w="35" w:type="dxa"/>
          <w:trHeight w:val="275" w:hRule="atLeast"/>
          <w:jc w:val="center"/>
        </w:trPr>
        <w:tc>
          <w:tcPr>
            <w:tcW w:w="1806" w:type="dxa"/>
            <w:vMerge w:val="restart"/>
          </w:tcPr>
          <w:p w14:paraId="37889A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Тема 1.1 Основы стандартизации</w:t>
            </w:r>
          </w:p>
        </w:tc>
        <w:tc>
          <w:tcPr>
            <w:tcW w:w="8821" w:type="dxa"/>
          </w:tcPr>
          <w:p w14:paraId="0EA7B0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</w:t>
            </w:r>
          </w:p>
        </w:tc>
        <w:tc>
          <w:tcPr>
            <w:tcW w:w="1701" w:type="dxa"/>
            <w:vAlign w:val="center"/>
          </w:tcPr>
          <w:p w14:paraId="523456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0" w:type="dxa"/>
          </w:tcPr>
          <w:p w14:paraId="3CD5C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D981F3">
        <w:trPr>
          <w:gridAfter w:val="1"/>
          <w:wAfter w:w="35" w:type="dxa"/>
          <w:trHeight w:val="744" w:hRule="atLeast"/>
          <w:jc w:val="center"/>
        </w:trPr>
        <w:tc>
          <w:tcPr>
            <w:tcW w:w="1806" w:type="dxa"/>
            <w:vMerge w:val="continue"/>
          </w:tcPr>
          <w:p w14:paraId="09E665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66DD2E96">
            <w:pPr>
              <w:pStyle w:val="184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Государственная система стандартизации Российской Федерации. 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 Стандартизация в различных сферах. 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 Международная стандартизация. 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Организация работ по стандартизации в Российской Федерации. 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Нормоконтроль технической документации. Техническое регулирование и стандартизация в области ИКТ. 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 Организация работ по стандартизации в области ИКТ и открытые системы. 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Стандарты и спецификации в области информационной безопасности Российское и зарубежное законодательство в области ИБ. Обзор международных и национальных стандартов и спецификаций в области ИБ: «Оранжевая книга», ИСО 15408 и др. Системы менеджмента качества. 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9126 - 1</w:t>
            </w:r>
          </w:p>
        </w:tc>
        <w:tc>
          <w:tcPr>
            <w:tcW w:w="1701" w:type="dxa"/>
            <w:vAlign w:val="center"/>
          </w:tcPr>
          <w:p w14:paraId="4E510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</w:tcPr>
          <w:p w14:paraId="16D24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8C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E1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1A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B8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C6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2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ОК 01-</w:t>
            </w:r>
          </w:p>
          <w:p w14:paraId="5B43E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ОК 09</w:t>
            </w:r>
          </w:p>
          <w:p w14:paraId="74A43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9FD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29156F">
        <w:trPr>
          <w:gridAfter w:val="1"/>
          <w:wAfter w:w="35" w:type="dxa"/>
          <w:trHeight w:val="355" w:hRule="atLeast"/>
          <w:jc w:val="center"/>
        </w:trPr>
        <w:tc>
          <w:tcPr>
            <w:tcW w:w="1806" w:type="dxa"/>
            <w:vMerge w:val="continue"/>
          </w:tcPr>
          <w:p w14:paraId="4E5B2C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1AB8DA90">
            <w:pPr>
              <w:pStyle w:val="189"/>
              <w:ind w:right="176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 xml:space="preserve">Практическое занятие: </w:t>
            </w:r>
          </w:p>
        </w:tc>
        <w:tc>
          <w:tcPr>
            <w:tcW w:w="1701" w:type="dxa"/>
            <w:vAlign w:val="center"/>
          </w:tcPr>
          <w:p w14:paraId="40A581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0" w:type="dxa"/>
            <w:vMerge w:val="continue"/>
          </w:tcPr>
          <w:p w14:paraId="28605E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47BA36">
        <w:trPr>
          <w:gridAfter w:val="1"/>
          <w:wAfter w:w="35" w:type="dxa"/>
          <w:trHeight w:val="403" w:hRule="atLeast"/>
          <w:jc w:val="center"/>
        </w:trPr>
        <w:tc>
          <w:tcPr>
            <w:tcW w:w="1806" w:type="dxa"/>
            <w:vMerge w:val="continue"/>
          </w:tcPr>
          <w:p w14:paraId="072811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2721F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Нормативно - правовые документы и стандарты в области защиты информации и информационной безопасности.</w:t>
            </w:r>
          </w:p>
        </w:tc>
        <w:tc>
          <w:tcPr>
            <w:tcW w:w="1701" w:type="dxa"/>
            <w:vAlign w:val="center"/>
          </w:tcPr>
          <w:p w14:paraId="5DA272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0" w:type="dxa"/>
            <w:vMerge w:val="continue"/>
          </w:tcPr>
          <w:p w14:paraId="3C11D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3C1D2B">
        <w:trPr>
          <w:gridAfter w:val="1"/>
          <w:wAfter w:w="35" w:type="dxa"/>
          <w:trHeight w:val="283" w:hRule="atLeast"/>
          <w:jc w:val="center"/>
        </w:trPr>
        <w:tc>
          <w:tcPr>
            <w:tcW w:w="1806" w:type="dxa"/>
            <w:vMerge w:val="continue"/>
          </w:tcPr>
          <w:p w14:paraId="1EBF7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322068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1701" w:type="dxa"/>
            <w:vAlign w:val="center"/>
          </w:tcPr>
          <w:p w14:paraId="204F1A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0" w:type="dxa"/>
          </w:tcPr>
          <w:p w14:paraId="15B120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1F7B32">
        <w:trPr>
          <w:trHeight w:val="378" w:hRule="atLeast"/>
          <w:jc w:val="center"/>
        </w:trPr>
        <w:tc>
          <w:tcPr>
            <w:tcW w:w="10627" w:type="dxa"/>
            <w:gridSpan w:val="2"/>
          </w:tcPr>
          <w:p w14:paraId="6837C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Раздел 2 Сертификация</w:t>
            </w:r>
          </w:p>
        </w:tc>
        <w:tc>
          <w:tcPr>
            <w:tcW w:w="1701" w:type="dxa"/>
            <w:vAlign w:val="center"/>
          </w:tcPr>
          <w:p w14:paraId="3F9C9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835" w:type="dxa"/>
            <w:gridSpan w:val="2"/>
          </w:tcPr>
          <w:p w14:paraId="74C12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0D15B1">
        <w:trPr>
          <w:trHeight w:val="413" w:hRule="atLeast"/>
          <w:jc w:val="center"/>
        </w:trPr>
        <w:tc>
          <w:tcPr>
            <w:tcW w:w="1806" w:type="dxa"/>
            <w:vMerge w:val="restart"/>
          </w:tcPr>
          <w:p w14:paraId="1FC60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Тема 2.1 Основы сертификации</w:t>
            </w:r>
          </w:p>
        </w:tc>
        <w:tc>
          <w:tcPr>
            <w:tcW w:w="8821" w:type="dxa"/>
          </w:tcPr>
          <w:p w14:paraId="0A8908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</w:t>
            </w:r>
          </w:p>
        </w:tc>
        <w:tc>
          <w:tcPr>
            <w:tcW w:w="1701" w:type="dxa"/>
            <w:vAlign w:val="center"/>
          </w:tcPr>
          <w:p w14:paraId="462096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6B395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C6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FA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8E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ОК 01-</w:t>
            </w:r>
          </w:p>
          <w:p w14:paraId="0207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ОК 09</w:t>
            </w:r>
          </w:p>
          <w:p w14:paraId="7F7EAA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F8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1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47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3D4DCE">
        <w:trPr>
          <w:trHeight w:val="979" w:hRule="atLeast"/>
          <w:jc w:val="center"/>
        </w:trPr>
        <w:tc>
          <w:tcPr>
            <w:tcW w:w="1806" w:type="dxa"/>
            <w:vMerge w:val="continue"/>
          </w:tcPr>
          <w:p w14:paraId="02060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3B527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Сущность и проведение сертификации. Сущность сертификации. Проведение сертификации. Правовые основы сертификации. Организационно - методические принципы сертификации. Деятельность ИСО в области сертификации. Деятельность МЭК в сертификации. Нормативно -правовые документы и стандарты в области защиты информации и информационной безопасности. Международные правовые и нормативные акты обеспечения информационной безопасности процессов переработки информации.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 -коммуникационных технологий и система ИНКОМТЕХСЕРТ</w:t>
            </w:r>
          </w:p>
        </w:tc>
        <w:tc>
          <w:tcPr>
            <w:tcW w:w="1701" w:type="dxa"/>
            <w:vAlign w:val="center"/>
          </w:tcPr>
          <w:p w14:paraId="65522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1AC546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261B58">
        <w:trPr>
          <w:trHeight w:val="383" w:hRule="atLeast"/>
          <w:jc w:val="center"/>
        </w:trPr>
        <w:tc>
          <w:tcPr>
            <w:tcW w:w="1806" w:type="dxa"/>
            <w:vMerge w:val="continue"/>
          </w:tcPr>
          <w:p w14:paraId="53DE9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1DFD51EF">
            <w:pPr>
              <w:pStyle w:val="189"/>
              <w:ind w:right="176"/>
              <w:jc w:val="both"/>
              <w:rPr>
                <w:b/>
              </w:rPr>
            </w:pPr>
            <w:r>
              <w:rPr>
                <w:rFonts w:eastAsia="Times New Roman"/>
                <w:b/>
              </w:rPr>
              <w:t xml:space="preserve">Практическое занятие: </w:t>
            </w:r>
          </w:p>
        </w:tc>
        <w:tc>
          <w:tcPr>
            <w:tcW w:w="1701" w:type="dxa"/>
            <w:vAlign w:val="center"/>
          </w:tcPr>
          <w:p w14:paraId="1A3CE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2E63CF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8894F4">
        <w:trPr>
          <w:trHeight w:val="263" w:hRule="atLeast"/>
          <w:jc w:val="center"/>
        </w:trPr>
        <w:tc>
          <w:tcPr>
            <w:tcW w:w="1806" w:type="dxa"/>
            <w:vMerge w:val="continue"/>
          </w:tcPr>
          <w:p w14:paraId="3EF3DE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2CBD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Правовые основы сертификации</w:t>
            </w:r>
          </w:p>
        </w:tc>
        <w:tc>
          <w:tcPr>
            <w:tcW w:w="1701" w:type="dxa"/>
            <w:vAlign w:val="center"/>
          </w:tcPr>
          <w:p w14:paraId="6A598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0760E0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7C587A">
        <w:trPr>
          <w:trHeight w:val="268" w:hRule="atLeast"/>
          <w:jc w:val="center"/>
        </w:trPr>
        <w:tc>
          <w:tcPr>
            <w:tcW w:w="1806" w:type="dxa"/>
            <w:vMerge w:val="continue"/>
          </w:tcPr>
          <w:p w14:paraId="54C71EF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75FBF1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vAlign w:val="center"/>
          </w:tcPr>
          <w:p w14:paraId="5D5E3B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030D62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7B26A1">
        <w:trPr>
          <w:trHeight w:val="20" w:hRule="atLeast"/>
          <w:jc w:val="center"/>
        </w:trPr>
        <w:tc>
          <w:tcPr>
            <w:tcW w:w="10627" w:type="dxa"/>
            <w:gridSpan w:val="2"/>
          </w:tcPr>
          <w:p w14:paraId="445B0B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Раздел 3 Техническое документоведение</w:t>
            </w:r>
          </w:p>
          <w:p w14:paraId="73C2D9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 w14:paraId="152646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8697A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6490CE">
        <w:trPr>
          <w:trHeight w:val="327" w:hRule="atLeast"/>
          <w:jc w:val="center"/>
        </w:trPr>
        <w:tc>
          <w:tcPr>
            <w:tcW w:w="1806" w:type="dxa"/>
            <w:vMerge w:val="restart"/>
          </w:tcPr>
          <w:p w14:paraId="6C8598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Тема 3.1 Техническое документоведение</w:t>
            </w:r>
          </w:p>
        </w:tc>
        <w:tc>
          <w:tcPr>
            <w:tcW w:w="8821" w:type="dxa"/>
            <w:shd w:val="clear" w:color="FFFFFF" w:fill="FFFFFF"/>
          </w:tcPr>
          <w:p w14:paraId="5C27E3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Содержание учебного материала</w:t>
            </w:r>
          </w:p>
        </w:tc>
        <w:tc>
          <w:tcPr>
            <w:tcW w:w="1701" w:type="dxa"/>
            <w:shd w:val="clear" w:color="FFFFFF" w:fill="FFFFFF"/>
          </w:tcPr>
          <w:p w14:paraId="014E8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C48AE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A34A73">
        <w:trPr>
          <w:trHeight w:val="992" w:hRule="atLeast"/>
          <w:jc w:val="center"/>
        </w:trPr>
        <w:tc>
          <w:tcPr>
            <w:tcW w:w="1806" w:type="dxa"/>
            <w:vMerge w:val="continue"/>
          </w:tcPr>
          <w:p w14:paraId="6C1415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5991D00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Основные виды технической и технологической документации. Виды технической и технологической документации. Стандарты оформления документов, регламентов, протоколов по информационным системам.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9E60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53C89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ОК 01-</w:t>
            </w:r>
          </w:p>
          <w:p w14:paraId="50517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ОК 09</w:t>
            </w:r>
          </w:p>
          <w:p w14:paraId="2BB86F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89F4BF">
        <w:trPr>
          <w:trHeight w:val="369" w:hRule="atLeast"/>
          <w:jc w:val="center"/>
        </w:trPr>
        <w:tc>
          <w:tcPr>
            <w:tcW w:w="1806" w:type="dxa"/>
            <w:vMerge w:val="continue"/>
          </w:tcPr>
          <w:p w14:paraId="5C6BF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36184D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shd w:val="clear" w:color="FFFFFF" w:fill="FFFFFF"/>
          </w:tcPr>
          <w:p w14:paraId="5D6CE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364844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02A19">
        <w:trPr>
          <w:trHeight w:val="369" w:hRule="atLeast"/>
          <w:jc w:val="center"/>
        </w:trPr>
        <w:tc>
          <w:tcPr>
            <w:tcW w:w="1806" w:type="dxa"/>
            <w:vMerge w:val="continue"/>
          </w:tcPr>
          <w:p w14:paraId="007F0E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2557E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Основные виды технической и технологической документации.</w:t>
            </w:r>
          </w:p>
        </w:tc>
        <w:tc>
          <w:tcPr>
            <w:tcW w:w="1701" w:type="dxa"/>
            <w:shd w:val="clear" w:color="FFFFFF" w:fill="FFFFFF"/>
          </w:tcPr>
          <w:p w14:paraId="38066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694621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45FA1E">
        <w:trPr>
          <w:trHeight w:val="413" w:hRule="atLeast"/>
          <w:jc w:val="center"/>
        </w:trPr>
        <w:tc>
          <w:tcPr>
            <w:tcW w:w="1806" w:type="dxa"/>
            <w:vMerge w:val="continue"/>
          </w:tcPr>
          <w:p w14:paraId="640BEA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21" w:type="dxa"/>
          </w:tcPr>
          <w:p w14:paraId="383046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F0DB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 w:val="continue"/>
          </w:tcPr>
          <w:p w14:paraId="3BF60C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BD48CB">
        <w:trPr>
          <w:trHeight w:val="337" w:hRule="atLeast"/>
          <w:jc w:val="center"/>
        </w:trPr>
        <w:tc>
          <w:tcPr>
            <w:tcW w:w="10627" w:type="dxa"/>
            <w:gridSpan w:val="2"/>
          </w:tcPr>
          <w:p w14:paraId="3C994E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Консультации</w:t>
            </w:r>
          </w:p>
        </w:tc>
        <w:tc>
          <w:tcPr>
            <w:tcW w:w="1701" w:type="dxa"/>
            <w:vAlign w:val="center"/>
          </w:tcPr>
          <w:p w14:paraId="605349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35" w:type="dxa"/>
            <w:gridSpan w:val="2"/>
          </w:tcPr>
          <w:p w14:paraId="763476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5478E5">
        <w:trPr>
          <w:trHeight w:val="337" w:hRule="atLeast"/>
          <w:jc w:val="center"/>
        </w:trPr>
        <w:tc>
          <w:tcPr>
            <w:tcW w:w="10627" w:type="dxa"/>
            <w:gridSpan w:val="2"/>
          </w:tcPr>
          <w:p w14:paraId="599E7C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Дифференцированный зачет</w:t>
            </w:r>
          </w:p>
        </w:tc>
        <w:tc>
          <w:tcPr>
            <w:tcW w:w="1701" w:type="dxa"/>
            <w:vAlign w:val="center"/>
          </w:tcPr>
          <w:p w14:paraId="30294A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gridSpan w:val="2"/>
          </w:tcPr>
          <w:p w14:paraId="3B26B7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3E4119">
        <w:trPr>
          <w:trHeight w:val="337" w:hRule="atLeast"/>
          <w:jc w:val="center"/>
        </w:trPr>
        <w:tc>
          <w:tcPr>
            <w:tcW w:w="10627" w:type="dxa"/>
            <w:gridSpan w:val="2"/>
          </w:tcPr>
          <w:p w14:paraId="5EAEBF6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Всего:</w:t>
            </w:r>
          </w:p>
        </w:tc>
        <w:tc>
          <w:tcPr>
            <w:tcW w:w="1701" w:type="dxa"/>
            <w:vAlign w:val="center"/>
          </w:tcPr>
          <w:p w14:paraId="70F2E1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2835" w:type="dxa"/>
            <w:gridSpan w:val="2"/>
          </w:tcPr>
          <w:p w14:paraId="30CCBB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4543E64">
      <w:pPr>
        <w:spacing w:line="1" w:lineRule="exact"/>
        <w:rPr>
          <w:sz w:val="2"/>
          <w:szCs w:val="2"/>
        </w:rPr>
      </w:pPr>
    </w:p>
    <w:p w14:paraId="4EEA41CB">
      <w:pPr>
        <w:spacing w:line="1" w:lineRule="exact"/>
        <w:rPr>
          <w:sz w:val="2"/>
          <w:szCs w:val="2"/>
        </w:rPr>
      </w:pPr>
    </w:p>
    <w:p w14:paraId="0BEADCD2">
      <w:pPr>
        <w:spacing w:line="1" w:lineRule="exact"/>
        <w:rPr>
          <w:sz w:val="2"/>
          <w:szCs w:val="2"/>
        </w:rPr>
      </w:pPr>
    </w:p>
    <w:p w14:paraId="4C26101F">
      <w:pPr>
        <w:spacing w:line="1" w:lineRule="exact"/>
        <w:rPr>
          <w:sz w:val="2"/>
          <w:szCs w:val="2"/>
        </w:rPr>
      </w:pPr>
      <w:r>
        <w:rPr/>
        <w:br w:type="page" w:clear="all"/>
      </w:r>
    </w:p>
    <w:p w14:paraId="6B455910">
      <w:pPr>
        <w:rPr>
          <w:rFonts w:ascii="Times New Roman" w:hAnsi="Times New Roman"/>
          <w:sz w:val="24"/>
          <w:szCs w:val="24"/>
        </w:rPr>
        <w:sectPr>
          <w:pgSz w:w="16838" w:h="11906"/>
          <w:pgMar w:top="709" w:right="851" w:bottom="851" w:left="1134" w:header="709" w:footer="709" w:gutter="0"/>
          <w:cols w:space="708" w:num="1"/>
        </w:sectPr>
      </w:pPr>
    </w:p>
    <w:p w14:paraId="5E76B8EA">
      <w:pPr>
        <w:pStyle w:val="18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0BA0DDD3">
      <w:pPr>
        <w:pStyle w:val="18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3ECC2B2F">
      <w:pPr>
        <w:pStyle w:val="183"/>
        <w:spacing w:after="0" w:line="240" w:lineRule="auto"/>
        <w:ind w:left="0" w:firstLine="709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общепрофессиональных дисциплин и профессиональных модулей</w:t>
      </w:r>
    </w:p>
    <w:p w14:paraId="39A16F75">
      <w:pPr>
        <w:pStyle w:val="18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onlyoffice, 7-</w:t>
      </w:r>
      <w:r>
        <w:rPr>
          <w:rFonts w:ascii="Times New Roman" w:hAnsi="Times New Roman"/>
          <w:sz w:val="24"/>
          <w:szCs w:val="24"/>
          <w:lang w:val="en-US"/>
        </w:rPr>
        <w:t>zip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Ocular</w:t>
      </w:r>
      <w:r>
        <w:rPr>
          <w:rFonts w:ascii="Times New Roman" w:hAnsi="Times New Roman"/>
          <w:sz w:val="24"/>
          <w:szCs w:val="24"/>
        </w:rPr>
        <w:t xml:space="preserve">, Яндекс Браузер, </w:t>
      </w:r>
      <w:r>
        <w:rPr>
          <w:rFonts w:ascii="Times New Roman" w:hAnsi="Times New Roman"/>
          <w:sz w:val="24"/>
          <w:szCs w:val="24"/>
          <w:lang w:val="en-US"/>
        </w:rPr>
        <w:t>draw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io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Git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JetBrains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Rider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Designer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Visual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Code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Postman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Workbench</w:t>
      </w:r>
      <w:r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>
        <w:rPr>
          <w:rFonts w:ascii="Times New Roman" w:hAnsi="Times New Roman"/>
          <w:sz w:val="24"/>
          <w:szCs w:val="24"/>
        </w:rPr>
        <w:t xml:space="preserve">персональный компьютер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(процессор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Core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>3, оперативная память объемом 8 Гб)</w:t>
      </w:r>
      <w:r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28C1970B">
      <w:pPr>
        <w:pStyle w:val="184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Лаборатория программирования и баз данных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Индивидуальные рабочие места для обучающихся - 10 шт., рабочее место преподавателя - 1 шт., маркерная доска - 1 шт., ТВ - 1 шт.,  </w:t>
      </w:r>
      <w:r>
        <w:rPr>
          <w:rFonts w:ascii="Times New Roman" w:hAnsi="Times New Roman"/>
          <w:bCs/>
          <w:sz w:val="24"/>
          <w:szCs w:val="24"/>
        </w:rPr>
        <w:t xml:space="preserve">комплект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(Linux </w:t>
      </w:r>
      <w:r>
        <w:rPr>
          <w:rFonts w:ascii="Times New Roman" w:hAnsi="Times New Roman"/>
          <w:sz w:val="24"/>
          <w:szCs w:val="24"/>
          <w:lang w:val="en-US"/>
        </w:rPr>
        <w:t>KUbuntu</w:t>
      </w:r>
      <w:r>
        <w:rPr>
          <w:rFonts w:ascii="Times New Roman" w:hAnsi="Times New Roman"/>
          <w:sz w:val="24"/>
          <w:szCs w:val="24"/>
        </w:rPr>
        <w:t>, onlyoffice, 7-</w:t>
      </w:r>
      <w:r>
        <w:rPr>
          <w:rFonts w:ascii="Times New Roman" w:hAnsi="Times New Roman"/>
          <w:sz w:val="24"/>
          <w:szCs w:val="24"/>
          <w:lang w:val="en-US"/>
        </w:rPr>
        <w:t>zip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Ocular</w:t>
      </w:r>
      <w:r>
        <w:rPr>
          <w:rFonts w:ascii="Times New Roman" w:hAnsi="Times New Roman"/>
          <w:sz w:val="24"/>
          <w:szCs w:val="24"/>
        </w:rPr>
        <w:t xml:space="preserve">, Яндекс Браузер, </w:t>
      </w:r>
      <w:r>
        <w:rPr>
          <w:rFonts w:ascii="Times New Roman" w:hAnsi="Times New Roman"/>
          <w:sz w:val="24"/>
          <w:szCs w:val="24"/>
          <w:lang w:val="en-US"/>
        </w:rPr>
        <w:t>draw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io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Git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JetBrains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Rider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Designer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Visual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Code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Postman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Workbench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Docker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Zabbix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LogHouse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Hashicorp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Vault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OpenVPN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Terraform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  <w:lang w:val="en-US"/>
        </w:rPr>
        <w:t>Ansible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MaxPatrol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VM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Red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Team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Tools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Zammad</w:t>
      </w:r>
      <w:r>
        <w:rPr>
          <w:rFonts w:ascii="Times New Roman" w:hAnsi="Times New Roman"/>
          <w:sz w:val="24"/>
          <w:szCs w:val="24"/>
        </w:rPr>
        <w:t xml:space="preserve">, Яндекс Облако, </w:t>
      </w:r>
      <w:r>
        <w:rPr>
          <w:rFonts w:ascii="Times New Roman" w:hAnsi="Times New Roman"/>
          <w:sz w:val="24"/>
          <w:szCs w:val="24"/>
          <w:lang w:val="en-US"/>
        </w:rPr>
        <w:t>Power</w:t>
      </w:r>
      <w:r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Desktop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 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шт.</w:t>
      </w:r>
    </w:p>
    <w:p w14:paraId="376FE4C5">
      <w:pPr>
        <w:pStyle w:val="184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CC4C87">
      <w:pPr>
        <w:pStyle w:val="18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29A08E1E">
      <w:pPr>
        <w:pStyle w:val="186"/>
        <w:keepNext/>
        <w:keepLines/>
        <w:numPr>
          <w:ilvl w:val="2"/>
          <w:numId w:val="3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4DA10890">
      <w:pPr>
        <w:pStyle w:val="18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none"/>
        </w:rPr>
      </w:pPr>
      <w:bookmarkStart w:id="15" w:name="_GoBack"/>
      <w:r>
        <w:rPr>
          <w:rFonts w:ascii="Times New Roman" w:hAnsi="Times New Roman"/>
          <w:sz w:val="24"/>
          <w:szCs w:val="24"/>
          <w:highlight w:val="none"/>
        </w:rPr>
        <w:t>Шишмарёв, В. Ю., Метрология, стандартизация, сертификация, техническое регулирование и документоведение : учебник / В. Ю. Шишмарёв. — Москва : КУРС:ИНФРА-М, 2017. — 312 с. — (СПО)</w:t>
      </w:r>
      <w:r>
        <w:rPr>
          <w:sz w:val="24"/>
          <w:szCs w:val="24"/>
          <w:highlight w:val="none"/>
        </w:rPr>
        <w:t xml:space="preserve"> — </w:t>
      </w:r>
      <w:r>
        <w:rPr>
          <w:rFonts w:ascii="Times New Roman" w:hAnsi="Times New Roman"/>
          <w:sz w:val="24"/>
          <w:szCs w:val="24"/>
          <w:highlight w:val="none"/>
        </w:rPr>
        <w:t>(электронный ресурс ЭБС)</w:t>
      </w:r>
    </w:p>
    <w:p w14:paraId="35D262D1">
      <w:pPr>
        <w:pStyle w:val="18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Зайцев, С. А., Метрология, стандартизация и сертификация : учебник / С. А. Зайцев, О. Ф. Вячеславова, И. Е. Парфеньева, ; под общ. ред. С. А. Зайцева. — Москва : КноРус, 2026. — 174 с. — (СПО) — (электронный учебник ЭБС)</w:t>
      </w:r>
    </w:p>
    <w:p w14:paraId="6325B1FB">
      <w:pPr>
        <w:pStyle w:val="18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Хрусталева, З. А., Метрология, стандартизация и сертификация. Практикум. : учебное пособие / З. А. Хрусталева. — Москва : КноРус, 2025. — 171 с. — (СПО). — (электронный учебник ЭБС)</w:t>
      </w:r>
    </w:p>
    <w:p w14:paraId="3829E405">
      <w:pPr>
        <w:pStyle w:val="18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Лифиц, И. М., Метрология, стандартизация и подтверждение соответствия. : учебник / И. М. Лифиц. — Москва : КноРус, 2017. — 300 с. — (СПО) — (электронный ресурс ЭБС)</w:t>
      </w:r>
    </w:p>
    <w:p w14:paraId="3A1D54A1">
      <w:pPr>
        <w:pStyle w:val="18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Метрология, стандартизация и сертификация. Учебно-терминологический словарь : словарь / В. М. Шумячер, О. А. Горленко, Н. В. Байдакова [и др.] ; под ред. В. М. Шумячера, О. А. Горленко. — Москва : Русайнс, 2024. — 227 с. —(электронный учебник ЭБС)</w:t>
      </w:r>
    </w:p>
    <w:bookmarkEnd w:id="15"/>
    <w:p w14:paraId="7150C15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/>
          <w:color w:val="000000"/>
          <w:sz w:val="24"/>
          <w:szCs w:val="18"/>
        </w:rPr>
      </w:pPr>
    </w:p>
    <w:p w14:paraId="42170425">
      <w:pPr>
        <w:pStyle w:val="186"/>
        <w:keepNext/>
        <w:keepLines/>
        <w:numPr>
          <w:ilvl w:val="0"/>
          <w:numId w:val="5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7" w:name="bookmark133"/>
      <w:bookmarkStart w:id="8" w:name="bookmark132"/>
      <w:r>
        <w:rPr>
          <w:color w:val="000000"/>
          <w:sz w:val="24"/>
          <w:szCs w:val="24"/>
          <w:lang w:eastAsia="ru-RU" w:bidi="ru-RU"/>
        </w:rPr>
        <w:t>Электронные ресурсы:</w:t>
      </w:r>
      <w:bookmarkEnd w:id="7"/>
      <w:bookmarkEnd w:id="8"/>
    </w:p>
    <w:p w14:paraId="0806E6EC">
      <w:pPr>
        <w:pStyle w:val="189"/>
        <w:ind w:firstLine="709"/>
        <w:jc w:val="both"/>
        <w:rPr>
          <w:sz w:val="22"/>
        </w:rPr>
      </w:pPr>
      <w:r>
        <w:t>1. Сергеев А.Г., Терегеря В.В. Стандартизация и сертификация: учебник и практикум для СПО. — ООО Издательство Юрайт, 2022. Электронный ресурс 2. Метрология, стандартизация и сертификация: учебное пособие: [16+] / Т.О. Перемитина; Томский Государственный университет систем управления и радиоэлектроники (ТУСУР). – Томск: ТУСУР, 2016. – 150 с.: ил. – Режим доступа: по подписке. – URL: https://biblioclub.ru/index.php?page=book&amp;id=480887. – Библиогр.: с. 144. – Текст: электронный. 3. Метрология, стандартизация и сертификация: учебное пособие / О.Г. Тарасова, Э.А. Анисимов; Поволжский государственный технологический университет. – Йошкар-Ола: Поволжский государственный технологический университет, 2016. – 112 с.: табл. – Режим доступа: по подписке. – URL: https://biblioclub.ru/index.php?page=book&amp;id=459515. – Библиогр. в кн. – ISBN 978-5-8158-1709-8. – Текст: электронный</w:t>
      </w:r>
    </w:p>
    <w:p w14:paraId="0BD5994B">
      <w:pPr>
        <w:pStyle w:val="184"/>
        <w:shd w:val="clear" w:color="auto" w:fill="auto"/>
        <w:tabs>
          <w:tab w:val="left" w:pos="758"/>
          <w:tab w:val="left" w:pos="1134"/>
        </w:tabs>
        <w:spacing w:after="0" w:line="240" w:lineRule="auto"/>
      </w:pPr>
    </w:p>
    <w:p w14:paraId="1C669682">
      <w:pPr>
        <w:pStyle w:val="2"/>
        <w:spacing w:before="0"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6A8BEE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32B0C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\o "https://disk.yandex.ru/i/l5hSPg7_FH3-VQ" </w:instrText>
      </w:r>
      <w:r>
        <w:fldChar w:fldCharType="separate"/>
      </w:r>
      <w:r>
        <w:rPr>
          <w:rStyle w:val="21"/>
          <w:sz w:val="24"/>
          <w:szCs w:val="24"/>
        </w:rPr>
        <w:t>https://disk.yandex.ru/i/l5hSPg7_FH3-VQ</w:t>
      </w:r>
      <w:r>
        <w:rPr>
          <w:rStyle w:val="21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42E78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48315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28B22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55C18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hAnsi="Symbol" w:eastAsia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CD48B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0F3087D"/>
    <w:p w14:paraId="06996294">
      <w:pPr>
        <w:pStyle w:val="190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9" w:name="bookmark17"/>
      <w:bookmarkStart w:id="10" w:name="bookmark16"/>
      <w:r>
        <w:rPr>
          <w:sz w:val="24"/>
        </w:rPr>
        <w:t>3.4. Кадровое обеспечение образовательного процесса</w:t>
      </w:r>
      <w:bookmarkEnd w:id="9"/>
      <w:bookmarkEnd w:id="10"/>
    </w:p>
    <w:p w14:paraId="7ABC5303">
      <w:pPr>
        <w:pStyle w:val="183"/>
        <w:suppressAutoHyphens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18"/>
      <w:bookmarkStart w:id="12" w:name="bookmark19"/>
      <w:r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25C98CA8">
      <w:pPr>
        <w:pStyle w:val="192"/>
        <w:ind w:firstLine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4025D888">
      <w:pPr>
        <w:pStyle w:val="192"/>
        <w:ind w:firstLine="709"/>
        <w:jc w:val="both"/>
        <w:rPr>
          <w:lang w:val="ru-RU"/>
        </w:rPr>
      </w:pPr>
      <w:r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>
        <w:rPr>
          <w:i/>
          <w:lang w:val="ru-RU"/>
        </w:rPr>
        <w:t>06 Связь, информационные и коммуникационные технологии</w:t>
      </w:r>
      <w:r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6F0A889">
      <w:pPr>
        <w:pStyle w:val="192"/>
        <w:ind w:firstLine="709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7BBDBAB7">
      <w:pPr>
        <w:rPr>
          <w:rFonts w:ascii="Times New Roman" w:hAnsi="Times New Roman" w:eastAsia="Times New Roman" w:cs="Times New Roman"/>
          <w:b/>
          <w:bCs/>
          <w:sz w:val="24"/>
        </w:rPr>
      </w:pPr>
      <w:r>
        <w:rPr>
          <w:sz w:val="24"/>
        </w:rPr>
        <w:br w:type="page"/>
      </w:r>
    </w:p>
    <w:p w14:paraId="4D67FAAA">
      <w:pPr>
        <w:pStyle w:val="190"/>
        <w:keepNext/>
        <w:keepLines/>
        <w:shd w:val="clear" w:color="auto" w:fill="auto"/>
        <w:tabs>
          <w:tab w:val="left" w:pos="1287"/>
        </w:tabs>
        <w:spacing w:after="0"/>
        <w:ind w:left="709" w:firstLine="0"/>
        <w:jc w:val="both"/>
        <w:rPr>
          <w:sz w:val="24"/>
        </w:rPr>
      </w:pPr>
    </w:p>
    <w:bookmarkEnd w:id="11"/>
    <w:bookmarkEnd w:id="12"/>
    <w:p w14:paraId="4C30DA41">
      <w:pPr>
        <w:pStyle w:val="190"/>
        <w:keepNext/>
        <w:keepLines/>
        <w:numPr>
          <w:ilvl w:val="0"/>
          <w:numId w:val="6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3" w:name="bookmark20"/>
      <w:bookmarkStart w:id="14" w:name="bookmark21"/>
      <w:r>
        <w:rPr>
          <w:sz w:val="24"/>
          <w:szCs w:val="24"/>
        </w:rPr>
        <w:t>КОНТРОЛЬ И ОЦЕНКА РЕЗУЛЬТАТОВ ОСВОЕНИЯ УЧЕБНОЙ ДИСЦИПЛИНЫ</w:t>
      </w:r>
      <w:bookmarkEnd w:id="13"/>
      <w:bookmarkEnd w:id="14"/>
    </w:p>
    <w:tbl>
      <w:tblPr>
        <w:tblStyle w:val="12"/>
        <w:tblW w:w="51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2"/>
        <w:gridCol w:w="4207"/>
        <w:gridCol w:w="2904"/>
      </w:tblGrid>
      <w:tr w14:paraId="5C5D036F">
        <w:trPr>
          <w:trHeight w:val="519" w:hRule="atLeast"/>
        </w:trPr>
        <w:tc>
          <w:tcPr>
            <w:tcW w:w="1498" w:type="pct"/>
            <w:vAlign w:val="center"/>
          </w:tcPr>
          <w:p w14:paraId="351315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382CCAB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969D6A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01613313">
        <w:trPr>
          <w:trHeight w:val="698" w:hRule="atLeast"/>
        </w:trPr>
        <w:tc>
          <w:tcPr>
            <w:tcW w:w="1498" w:type="pct"/>
          </w:tcPr>
          <w:p w14:paraId="7759A4B2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451025AB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1781E545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6D453AD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13F0365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733841FA">
        <w:trPr>
          <w:trHeight w:val="698" w:hRule="atLeast"/>
        </w:trPr>
        <w:tc>
          <w:tcPr>
            <w:tcW w:w="1498" w:type="pct"/>
          </w:tcPr>
          <w:p w14:paraId="08F10B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224DAFC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195C2A3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7FCD1AF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7A8FA19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15CC6F89">
        <w:trPr>
          <w:trHeight w:val="698" w:hRule="atLeast"/>
        </w:trPr>
        <w:tc>
          <w:tcPr>
            <w:tcW w:w="1498" w:type="pct"/>
          </w:tcPr>
          <w:p w14:paraId="5047FF5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751B9F9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3FC769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602C41C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1CE4EFB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7B5A4340">
        <w:trPr>
          <w:trHeight w:val="698" w:hRule="atLeast"/>
        </w:trPr>
        <w:tc>
          <w:tcPr>
            <w:tcW w:w="1498" w:type="pct"/>
          </w:tcPr>
          <w:p w14:paraId="5EDF958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4277AC0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040EDE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49839E8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596463E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1378DDF9">
        <w:trPr>
          <w:trHeight w:val="698" w:hRule="atLeast"/>
        </w:trPr>
        <w:tc>
          <w:tcPr>
            <w:tcW w:w="1498" w:type="pct"/>
          </w:tcPr>
          <w:p w14:paraId="50D2EB6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469CCF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08C8342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03867F5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59CFC9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1A551220">
        <w:trPr>
          <w:trHeight w:val="698" w:hRule="atLeast"/>
        </w:trPr>
        <w:tc>
          <w:tcPr>
            <w:tcW w:w="1498" w:type="pct"/>
          </w:tcPr>
          <w:p w14:paraId="1EE8510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517A576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5D77278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3F33AF6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3CDD8C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3849CB20">
        <w:trPr>
          <w:trHeight w:val="698" w:hRule="atLeast"/>
        </w:trPr>
        <w:tc>
          <w:tcPr>
            <w:tcW w:w="1498" w:type="pct"/>
          </w:tcPr>
          <w:p w14:paraId="4CA5041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19A64C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4B192D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1FF7BBA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7DE794F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1C1874CA">
        <w:trPr>
          <w:trHeight w:val="698" w:hRule="atLeast"/>
        </w:trPr>
        <w:tc>
          <w:tcPr>
            <w:tcW w:w="1498" w:type="pct"/>
          </w:tcPr>
          <w:p w14:paraId="020261E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30733F4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505039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30A89A0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4F2A129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7B0554E5">
        <w:trPr>
          <w:trHeight w:val="698" w:hRule="atLeast"/>
        </w:trPr>
        <w:tc>
          <w:tcPr>
            <w:tcW w:w="1498" w:type="pct"/>
          </w:tcPr>
          <w:p w14:paraId="714530D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06707311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2FB127E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150131E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69E46BB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12C73DAF">
      <w:pPr>
        <w:pStyle w:val="190"/>
        <w:keepNext/>
        <w:keepLines/>
        <w:shd w:val="clear" w:color="auto" w:fill="auto"/>
        <w:tabs>
          <w:tab w:val="left" w:pos="350"/>
        </w:tabs>
        <w:ind w:firstLine="0"/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90"/>
        <w:gridCol w:w="4536"/>
      </w:tblGrid>
      <w:tr w14:paraId="102DFEAA">
        <w:trPr>
          <w:trHeight w:val="331" w:hRule="exact"/>
        </w:trPr>
        <w:tc>
          <w:tcPr>
            <w:tcW w:w="4390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</w:tcPr>
          <w:p w14:paraId="0931D49F">
            <w:pPr>
              <w:pStyle w:val="187"/>
              <w:shd w:val="clear" w:color="auto" w:fill="auto"/>
              <w:ind w:firstLine="34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</w:tcPr>
          <w:p w14:paraId="57B6858B">
            <w:pPr>
              <w:pStyle w:val="18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14:paraId="62CD1629">
        <w:trPr>
          <w:trHeight w:val="4526" w:hRule="atLeast"/>
        </w:trPr>
        <w:tc>
          <w:tcPr>
            <w:tcW w:w="4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</w:tcPr>
          <w:p w14:paraId="4F8F7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– Правовые основы метрологии, стандартизации и сертификации. – Основные понятия и определения метрологии,стандартизации и сертификации. – Основные положения систем (комплексов) – общетехнических и организационно- методических стандартов. – Показатели качества и методы их оценки. – Системы качества. </w:t>
            </w:r>
          </w:p>
          <w:p w14:paraId="4E24C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– Основные термины и определения в области сертификации. – Организационную структуру сертификации. – Системы и схемы сертификации.</w:t>
            </w:r>
          </w:p>
          <w:p w14:paraId="74C19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</w:tcPr>
          <w:p w14:paraId="41B5CB97">
            <w:pPr>
              <w:pStyle w:val="18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7650259C">
            <w:pPr>
              <w:pStyle w:val="18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7BBFD5FE">
            <w:pPr>
              <w:pStyle w:val="18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09816916">
            <w:pPr>
              <w:pStyle w:val="18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44A9358D">
            <w:pPr>
              <w:pStyle w:val="187"/>
              <w:shd w:val="clear" w:color="auto" w:fill="auto"/>
              <w:ind w:left="135"/>
              <w:jc w:val="center"/>
              <w:rPr>
                <w:sz w:val="24"/>
                <w:szCs w:val="24"/>
              </w:rPr>
            </w:pPr>
          </w:p>
          <w:p w14:paraId="2A7843C8">
            <w:pPr>
              <w:pStyle w:val="187"/>
              <w:shd w:val="clear" w:color="auto" w:fill="auto"/>
              <w:ind w:left="135"/>
              <w:jc w:val="center"/>
            </w:pPr>
            <w:r>
              <w:rPr>
                <w:sz w:val="24"/>
                <w:szCs w:val="24"/>
              </w:rPr>
              <w:t>Компьютерное тестирование на знание терминологии по всем темам; Тестирование по всем темам; Контрольная работа по всем темам; Защита рефератов; Оценка выполнения практических заданий.</w:t>
            </w:r>
          </w:p>
        </w:tc>
      </w:tr>
    </w:tbl>
    <w:p w14:paraId="70D8202C">
      <w:pPr>
        <w:spacing w:after="0" w:line="240" w:lineRule="auto"/>
        <w:rPr>
          <w:sz w:val="2"/>
          <w:szCs w:val="2"/>
        </w:rPr>
      </w:pPr>
    </w:p>
    <w:p w14:paraId="2E572CCD">
      <w:pPr>
        <w:spacing w:after="0"/>
        <w:ind w:firstLine="709"/>
        <w:jc w:val="both"/>
      </w:pPr>
    </w:p>
    <w:p w14:paraId="615E6ED7"/>
    <w:sectPr>
      <w:pgSz w:w="11906" w:h="16838" w:orient="landscape"/>
      <w:pgMar w:top="1134" w:right="566" w:bottom="1134" w:left="1701" w:header="709" w:footer="709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86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54F1C"/>
    <w:multiLevelType w:val="multilevel"/>
    <w:tmpl w:val="10454F1C"/>
    <w:lvl w:ilvl="0" w:tentative="0">
      <w:start w:val="3"/>
      <w:numFmt w:val="decimal"/>
      <w:suff w:val="space"/>
      <w:lvlText w:val="%1."/>
      <w:lvlJc w:val="left"/>
      <w:pPr>
        <w:ind w:left="540" w:hanging="540"/>
      </w:pPr>
      <w:rPr>
        <w:rFonts w:hint="default"/>
      </w:rPr>
    </w:lvl>
    <w:lvl w:ilvl="1" w:tentative="0">
      <w:start w:val="2"/>
      <w:numFmt w:val="decimal"/>
      <w:suff w:val="space"/>
      <w:lvlText w:val="%1.%2."/>
      <w:lvlJc w:val="left"/>
      <w:pPr>
        <w:ind w:left="720" w:hanging="54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1260" w:hanging="72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1800" w:hanging="108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1980" w:hanging="108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2520" w:hanging="144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2700" w:hanging="144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A9552D1"/>
    <w:multiLevelType w:val="multilevel"/>
    <w:tmpl w:val="2A9552D1"/>
    <w:lvl w:ilvl="0" w:tentative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5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C197CFA"/>
    <w:multiLevelType w:val="multilevel"/>
    <w:tmpl w:val="2C197CF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F6DA3"/>
    <w:multiLevelType w:val="multilevel"/>
    <w:tmpl w:val="426F6DA3"/>
    <w:lvl w:ilvl="0" w:tentative="0">
      <w:start w:val="2"/>
      <w:numFmt w:val="decimal"/>
      <w:suff w:val="space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1"/>
      <w:numFmt w:val="decimal"/>
      <w:suff w:val="space"/>
      <w:lvlText w:val=""/>
      <w:lvlJc w:val="left"/>
    </w:lvl>
    <w:lvl w:ilvl="2" w:tentative="0">
      <w:start w:val="1"/>
      <w:numFmt w:val="decimal"/>
      <w:suff w:val="space"/>
      <w:lvlText w:val=""/>
      <w:lvlJc w:val="left"/>
    </w:lvl>
    <w:lvl w:ilvl="3" w:tentative="0">
      <w:start w:val="1"/>
      <w:numFmt w:val="decimal"/>
      <w:suff w:val="space"/>
      <w:lvlText w:val=""/>
      <w:lvlJc w:val="left"/>
    </w:lvl>
    <w:lvl w:ilvl="4" w:tentative="0">
      <w:start w:val="1"/>
      <w:numFmt w:val="decimal"/>
      <w:suff w:val="space"/>
      <w:lvlText w:val=""/>
      <w:lvlJc w:val="left"/>
    </w:lvl>
    <w:lvl w:ilvl="5" w:tentative="0">
      <w:start w:val="1"/>
      <w:numFmt w:val="decimal"/>
      <w:suff w:val="space"/>
      <w:lvlText w:val=""/>
      <w:lvlJc w:val="left"/>
    </w:lvl>
    <w:lvl w:ilvl="6" w:tentative="0">
      <w:start w:val="1"/>
      <w:numFmt w:val="decimal"/>
      <w:suff w:val="space"/>
      <w:lvlText w:val=""/>
      <w:lvlJc w:val="left"/>
    </w:lvl>
    <w:lvl w:ilvl="7" w:tentative="0">
      <w:start w:val="1"/>
      <w:numFmt w:val="decimal"/>
      <w:suff w:val="space"/>
      <w:lvlText w:val=""/>
      <w:lvlJc w:val="left"/>
    </w:lvl>
    <w:lvl w:ilvl="8" w:tentative="0">
      <w:start w:val="1"/>
      <w:numFmt w:val="decimal"/>
      <w:suff w:val="space"/>
      <w:lvlText w:val=""/>
      <w:lvlJc w:val="left"/>
    </w:lvl>
  </w:abstractNum>
  <w:abstractNum w:abstractNumId="4">
    <w:nsid w:val="42840154"/>
    <w:multiLevelType w:val="multilevel"/>
    <w:tmpl w:val="42840154"/>
    <w:lvl w:ilvl="0" w:tentative="0">
      <w:start w:val="1"/>
      <w:numFmt w:val="decimal"/>
      <w:suff w:val="space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1"/>
      <w:numFmt w:val="decimal"/>
      <w:suff w:val="space"/>
      <w:lvlText w:val="%1.%2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 w:tentative="0">
      <w:start w:val="1"/>
      <w:numFmt w:val="decimal"/>
      <w:suff w:val="space"/>
      <w:lvlText w:val="%1.%2.%3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 w:tentative="0">
      <w:start w:val="1"/>
      <w:numFmt w:val="decimal"/>
      <w:suff w:val="space"/>
      <w:lvlText w:val=""/>
      <w:lvlJc w:val="left"/>
    </w:lvl>
    <w:lvl w:ilvl="4" w:tentative="0">
      <w:start w:val="1"/>
      <w:numFmt w:val="decimal"/>
      <w:suff w:val="space"/>
      <w:lvlText w:val=""/>
      <w:lvlJc w:val="left"/>
    </w:lvl>
    <w:lvl w:ilvl="5" w:tentative="0">
      <w:start w:val="1"/>
      <w:numFmt w:val="decimal"/>
      <w:suff w:val="space"/>
      <w:lvlText w:val=""/>
      <w:lvlJc w:val="left"/>
    </w:lvl>
    <w:lvl w:ilvl="6" w:tentative="0">
      <w:start w:val="1"/>
      <w:numFmt w:val="decimal"/>
      <w:suff w:val="space"/>
      <w:lvlText w:val=""/>
      <w:lvlJc w:val="left"/>
    </w:lvl>
    <w:lvl w:ilvl="7" w:tentative="0">
      <w:start w:val="1"/>
      <w:numFmt w:val="decimal"/>
      <w:suff w:val="space"/>
      <w:lvlText w:val=""/>
      <w:lvlJc w:val="left"/>
    </w:lvl>
    <w:lvl w:ilvl="8" w:tentative="0">
      <w:start w:val="1"/>
      <w:numFmt w:val="decimal"/>
      <w:suff w:val="space"/>
      <w:lvlText w:val=""/>
      <w:lvlJc w:val="left"/>
    </w:lvl>
  </w:abstractNum>
  <w:abstractNum w:abstractNumId="5">
    <w:nsid w:val="5F8A0B1F"/>
    <w:multiLevelType w:val="multilevel"/>
    <w:tmpl w:val="5F8A0B1F"/>
    <w:lvl w:ilvl="0" w:tentative="0">
      <w:start w:val="1"/>
      <w:numFmt w:val="decimal"/>
      <w:suff w:val="space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1"/>
      <w:numFmt w:val="decimal"/>
      <w:suff w:val="space"/>
      <w:lvlText w:val=""/>
      <w:lvlJc w:val="left"/>
    </w:lvl>
    <w:lvl w:ilvl="2" w:tentative="0">
      <w:start w:val="1"/>
      <w:numFmt w:val="decimal"/>
      <w:suff w:val="space"/>
      <w:lvlText w:val=""/>
      <w:lvlJc w:val="left"/>
    </w:lvl>
    <w:lvl w:ilvl="3" w:tentative="0">
      <w:start w:val="1"/>
      <w:numFmt w:val="decimal"/>
      <w:suff w:val="space"/>
      <w:lvlText w:val=""/>
      <w:lvlJc w:val="left"/>
    </w:lvl>
    <w:lvl w:ilvl="4" w:tentative="0">
      <w:start w:val="1"/>
      <w:numFmt w:val="decimal"/>
      <w:suff w:val="space"/>
      <w:lvlText w:val=""/>
      <w:lvlJc w:val="left"/>
    </w:lvl>
    <w:lvl w:ilvl="5" w:tentative="0">
      <w:start w:val="1"/>
      <w:numFmt w:val="decimal"/>
      <w:suff w:val="space"/>
      <w:lvlText w:val=""/>
      <w:lvlJc w:val="left"/>
    </w:lvl>
    <w:lvl w:ilvl="6" w:tentative="0">
      <w:start w:val="1"/>
      <w:numFmt w:val="decimal"/>
      <w:suff w:val="space"/>
      <w:lvlText w:val=""/>
      <w:lvlJc w:val="left"/>
    </w:lvl>
    <w:lvl w:ilvl="7" w:tentative="0">
      <w:start w:val="1"/>
      <w:numFmt w:val="decimal"/>
      <w:suff w:val="space"/>
      <w:lvlText w:val=""/>
      <w:lvlJc w:val="left"/>
    </w:lvl>
    <w:lvl w:ilvl="8" w:tentative="0">
      <w:start w:val="1"/>
      <w:numFmt w:val="decimal"/>
      <w:suff w:val="space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E2"/>
    <w:rsid w:val="00017735"/>
    <w:rsid w:val="001A351B"/>
    <w:rsid w:val="00253376"/>
    <w:rsid w:val="002C64C9"/>
    <w:rsid w:val="004A5EA6"/>
    <w:rsid w:val="00562CB2"/>
    <w:rsid w:val="0086562D"/>
    <w:rsid w:val="009306FB"/>
    <w:rsid w:val="00981259"/>
    <w:rsid w:val="00AC20CC"/>
    <w:rsid w:val="00BA4EC4"/>
    <w:rsid w:val="00C13523"/>
    <w:rsid w:val="00C152D9"/>
    <w:rsid w:val="00D63BE2"/>
    <w:rsid w:val="00EC5EC1"/>
    <w:rsid w:val="F7C9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caption"/>
    <w:basedOn w:val="1"/>
    <w:next w:val="1"/>
    <w:semiHidden/>
    <w:unhideWhenUsed/>
    <w:qFormat/>
    <w:uiPriority w:val="35"/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4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15">
    <w:name w:val="endnote reference"/>
    <w:semiHidden/>
    <w:unhideWhenUsed/>
    <w:uiPriority w:val="99"/>
    <w:rPr>
      <w:vertAlign w:val="superscript"/>
    </w:r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styleId="18">
    <w:name w:val="footnote reference"/>
    <w:unhideWhenUsed/>
    <w:uiPriority w:val="99"/>
    <w:rPr>
      <w:vertAlign w:val="superscript"/>
    </w:rPr>
  </w:style>
  <w:style w:type="paragraph" w:styleId="19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20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styleId="21">
    <w:name w:val="Hyperlink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22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paragraph" w:styleId="23">
    <w:name w:val="Subtitle"/>
    <w:basedOn w:val="1"/>
    <w:next w:val="1"/>
    <w:link w:val="46"/>
    <w:qFormat/>
    <w:uiPriority w:val="11"/>
    <w:pPr>
      <w:spacing w:before="200"/>
    </w:pPr>
    <w:rPr>
      <w:sz w:val="24"/>
      <w:szCs w:val="24"/>
    </w:rPr>
  </w:style>
  <w:style w:type="table" w:styleId="24">
    <w:name w:val="Table Grid"/>
    <w:basedOn w:val="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5">
    <w:name w:val="table of figures"/>
    <w:basedOn w:val="1"/>
    <w:next w:val="1"/>
    <w:unhideWhenUsed/>
    <w:uiPriority w:val="99"/>
    <w:pPr>
      <w:spacing w:after="0"/>
    </w:pPr>
  </w:style>
  <w:style w:type="paragraph" w:styleId="26">
    <w:name w:val="Title"/>
    <w:basedOn w:val="1"/>
    <w:next w:val="1"/>
    <w:link w:val="45"/>
    <w:qFormat/>
    <w:uiPriority w:val="10"/>
    <w:pPr>
      <w:spacing w:before="300"/>
      <w:contextualSpacing/>
    </w:pPr>
    <w:rPr>
      <w:sz w:val="48"/>
      <w:szCs w:val="48"/>
    </w:rPr>
  </w:style>
  <w:style w:type="paragraph" w:styleId="27">
    <w:name w:val="toc 1"/>
    <w:basedOn w:val="1"/>
    <w:next w:val="1"/>
    <w:unhideWhenUsed/>
    <w:uiPriority w:val="39"/>
    <w:pPr>
      <w:spacing w:after="5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3"/>
    <w:basedOn w:val="1"/>
    <w:next w:val="1"/>
    <w:unhideWhenUsed/>
    <w:uiPriority w:val="39"/>
    <w:pPr>
      <w:spacing w:after="57"/>
      <w:ind w:left="567"/>
    </w:pPr>
  </w:style>
  <w:style w:type="paragraph" w:styleId="30">
    <w:name w:val="toc 4"/>
    <w:basedOn w:val="1"/>
    <w:next w:val="1"/>
    <w:unhideWhenUsed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/>
    </w:pPr>
  </w:style>
  <w:style w:type="paragraph" w:styleId="32">
    <w:name w:val="toc 6"/>
    <w:basedOn w:val="1"/>
    <w:next w:val="1"/>
    <w:unhideWhenUsed/>
    <w:uiPriority w:val="39"/>
    <w:pPr>
      <w:spacing w:after="57"/>
      <w:ind w:left="1417"/>
    </w:pPr>
  </w:style>
  <w:style w:type="paragraph" w:styleId="33">
    <w:name w:val="toc 7"/>
    <w:basedOn w:val="1"/>
    <w:next w:val="1"/>
    <w:unhideWhenUsed/>
    <w:uiPriority w:val="39"/>
    <w:pPr>
      <w:spacing w:after="57"/>
      <w:ind w:left="1701"/>
    </w:pPr>
  </w:style>
  <w:style w:type="paragraph" w:styleId="34">
    <w:name w:val="toc 8"/>
    <w:basedOn w:val="1"/>
    <w:next w:val="1"/>
    <w:unhideWhenUsed/>
    <w:uiPriority w:val="39"/>
    <w:pPr>
      <w:spacing w:after="57"/>
      <w:ind w:left="1984"/>
    </w:pPr>
  </w:style>
  <w:style w:type="paragraph" w:styleId="35">
    <w:name w:val="toc 9"/>
    <w:basedOn w:val="1"/>
    <w:next w:val="1"/>
    <w:unhideWhenUsed/>
    <w:uiPriority w:val="39"/>
    <w:pPr>
      <w:spacing w:after="57"/>
      <w:ind w:left="2268"/>
    </w:pPr>
  </w:style>
  <w:style w:type="character" w:customStyle="1" w:styleId="36">
    <w:name w:val="Заголовок 1 Знак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link w:val="10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5">
    <w:name w:val="Заголовок Знак"/>
    <w:link w:val="26"/>
    <w:uiPriority w:val="10"/>
    <w:rPr>
      <w:sz w:val="48"/>
      <w:szCs w:val="48"/>
    </w:rPr>
  </w:style>
  <w:style w:type="character" w:customStyle="1" w:styleId="46">
    <w:name w:val="Подзаголовок Знак"/>
    <w:link w:val="23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Цитата 2 Знак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0">
    <w:name w:val="Выделенная цитата Знак"/>
    <w:link w:val="49"/>
    <w:uiPriority w:val="30"/>
    <w:rPr>
      <w:i/>
    </w:rPr>
  </w:style>
  <w:style w:type="character" w:customStyle="1" w:styleId="51">
    <w:name w:val="Верхний колонтитул Знак"/>
    <w:link w:val="20"/>
    <w:uiPriority w:val="99"/>
  </w:style>
  <w:style w:type="character" w:customStyle="1" w:styleId="52">
    <w:name w:val="Footer Char"/>
    <w:uiPriority w:val="99"/>
  </w:style>
  <w:style w:type="character" w:customStyle="1" w:styleId="53">
    <w:name w:val="Нижний колонтитул Знак"/>
    <w:link w:val="17"/>
    <w:uiPriority w:val="99"/>
  </w:style>
  <w:style w:type="table" w:customStyle="1" w:styleId="54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5">
    <w:name w:val="Plain Table 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7">
    <w:name w:val="Plain Table 3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4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5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1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2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3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4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5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6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7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8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69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0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1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2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3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4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5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6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7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8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9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0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1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2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3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4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5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6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7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8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9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0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1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2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3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4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5">
    <w:name w:val="Grid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6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8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9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0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1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3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5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6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7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8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09">
    <w:name w:val="List Table 1 Light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0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1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2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3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4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5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6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7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8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19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0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1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2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3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4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5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6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7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8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29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0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2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3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4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5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6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7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8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39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0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1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2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3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4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5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6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7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7 Colorful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2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3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4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9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0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1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2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3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4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5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6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7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8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9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0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1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2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3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4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5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6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7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8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9">
    <w:name w:val="Текст сноски Знак"/>
    <w:link w:val="19"/>
    <w:uiPriority w:val="99"/>
    <w:rPr>
      <w:sz w:val="18"/>
    </w:rPr>
  </w:style>
  <w:style w:type="character" w:customStyle="1" w:styleId="180">
    <w:name w:val="Текст концевой сноски Знак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82">
    <w:name w:val="No Spacing"/>
    <w:basedOn w:val="1"/>
    <w:qFormat/>
    <w:uiPriority w:val="1"/>
    <w:pPr>
      <w:spacing w:after="0" w:line="240" w:lineRule="auto"/>
    </w:pPr>
  </w:style>
  <w:style w:type="paragraph" w:styleId="183">
    <w:name w:val="List Paragraph"/>
    <w:basedOn w:val="1"/>
    <w:qFormat/>
    <w:uiPriority w:val="34"/>
    <w:pPr>
      <w:ind w:left="720"/>
      <w:contextualSpacing/>
    </w:pPr>
  </w:style>
  <w:style w:type="paragraph" w:customStyle="1" w:styleId="184">
    <w:name w:val="Основной текст1"/>
    <w:link w:val="191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20" w:line="302" w:lineRule="auto"/>
    </w:pPr>
    <w:rPr>
      <w:rFonts w:ascii="Tahoma" w:hAnsi="Tahoma" w:eastAsia="Tahoma" w:cs="Tahoma"/>
      <w:sz w:val="22"/>
      <w:szCs w:val="22"/>
      <w:lang w:val="ru-RU" w:eastAsia="en-US" w:bidi="ar-SA"/>
    </w:rPr>
  </w:style>
  <w:style w:type="paragraph" w:customStyle="1" w:styleId="185">
    <w:name w:val="Standard"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customStyle="1" w:styleId="186">
    <w:name w:val="Заголовок №2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300" w:line="276" w:lineRule="auto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paragraph" w:customStyle="1" w:styleId="187">
    <w:name w:val="Другое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customStyle="1" w:styleId="188">
    <w:name w:val="Подпись к таблице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paragraph" w:customStyle="1" w:styleId="189">
    <w:name w:val="Default"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190">
    <w:name w:val="Заголовок №1"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character" w:customStyle="1" w:styleId="191">
    <w:name w:val="Основной текст_"/>
    <w:basedOn w:val="11"/>
    <w:link w:val="184"/>
    <w:locked/>
    <w:uiPriority w:val="0"/>
    <w:rPr>
      <w:rFonts w:ascii="Tahoma" w:hAnsi="Tahoma" w:eastAsia="Tahoma" w:cs="Tahoma"/>
      <w:shd w:val="clear" w:color="auto" w:fill="FFFFFF"/>
    </w:rPr>
  </w:style>
  <w:style w:type="paragraph" w:customStyle="1" w:styleId="192">
    <w:name w:val="Обычный (веб)1"/>
    <w:basedOn w:val="1"/>
    <w:next w:val="22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3588</Words>
  <Characters>20453</Characters>
  <Lines>170</Lines>
  <Paragraphs>47</Paragraphs>
  <TotalTime>0</TotalTime>
  <ScaleCrop>false</ScaleCrop>
  <LinksUpToDate>false</LinksUpToDate>
  <CharactersWithSpaces>23994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2024-05-24T10:07:00Z</dcterms:created>
  <dc:creator>Ксения Татарникова</dc:creator>
  <cp:lastModifiedBy>Ксения Татарникова</cp:lastModifiedBy>
  <dcterms:modified xsi:type="dcterms:W3CDTF">2025-12-05T00:02:20Z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F45CE3E2E97E85669CBE3169A5D744C2_42</vt:lpwstr>
  </property>
</Properties>
</file>